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both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kern w:val="0"/>
          <w:sz w:val="32"/>
          <w:szCs w:val="32"/>
          <w:vertAlign w:val="baseline"/>
          <w:lang w:val="en-US" w:eastAsia="zh-CN" w:bidi="ar"/>
        </w:rPr>
        <w:t>附</w:t>
      </w:r>
      <w:r>
        <w:rPr>
          <w:rFonts w:hint="eastAsia" w:ascii="楷体" w:hAnsi="楷体" w:eastAsia="楷体" w:cs="楷体"/>
          <w:b/>
          <w:bCs/>
          <w:spacing w:val="0"/>
          <w:kern w:val="0"/>
          <w:sz w:val="32"/>
          <w:szCs w:val="32"/>
          <w:vertAlign w:val="baseline"/>
          <w:lang w:val="en-US" w:eastAsia="zh-CN" w:bidi="ar"/>
        </w:rPr>
        <w:t>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pacing w:val="6"/>
          <w:kern w:val="0"/>
          <w:sz w:val="36"/>
          <w:szCs w:val="36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6"/>
          <w:kern w:val="0"/>
          <w:sz w:val="36"/>
          <w:szCs w:val="36"/>
          <w:vertAlign w:val="baseline"/>
          <w:lang w:val="en-US" w:eastAsia="zh-CN" w:bidi="ar"/>
        </w:rPr>
        <w:t>素材内容参考方向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pacing w:val="6"/>
          <w:kern w:val="0"/>
          <w:sz w:val="36"/>
          <w:szCs w:val="36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5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Style w:val="5"/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经济建设方面：聚焦习近平总书记曾经考察过的重点企业、改革示范区、产业园区、经济开发区、贸易试验区等，组织师生采取参观调查、典型寻访、科创交流等形式开展深 入学习实践的情况。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30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Style w:val="5"/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政治建设方面：聚焦习近平总书记曾经考察过的街道社区、党群服务站等，组织师生采取志愿服务、交流访谈、支部结对共建等形式开展深入学习实践的情况。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5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Style w:val="5"/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3.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文化建设方面：聚焦习近平总书记曾经考察过的革命遗址遗迹、爱国主义教育基地、纪念馆、博物馆、历史文化街区、古镇古村等，组织师生采取故事讲述、文物探寻、专题研究等形式开展深入学习实践的情况。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5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Style w:val="5"/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4.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社会建设方面：聚焦习近平总书记曾经考察过的田野乡村、社区街道、医院高校等，组织师生采取问卷调查、岗位实习、支教宣讲</w:t>
      </w:r>
      <w:bookmarkStart w:id="0" w:name="_GoBack"/>
      <w:bookmarkEnd w:id="0"/>
      <w:r>
        <w:rPr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等形式开展深入学习实践的情况。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5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Style w:val="5"/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5.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生态建设方面：聚焦习近平总书记曾经考察过的林场公园、生态湿地、自然保护区等，组织师生采取劳动体验、专业实习、科普宣传等形式开展深入学习实践的情况。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30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Style w:val="5"/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6.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vertAlign w:val="baseline"/>
          <w:lang w:val="en-US" w:eastAsia="zh-CN" w:bidi="ar"/>
        </w:rPr>
        <w:t>关于教育的重要论述：聚焦习近平总书记在学校考察、向学校致贺信、给师生和教育界回信、出席座谈会和庆祝大会等重要会议时对高校党建和思想政治政工作、青年工作作出的一系列指示批示，组织师生采取研讨座谈、主题演讲、情景讲述等形式开展深入学习实践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2E5YWM5MjIwYzgxYjRjN2Q5ZGYzZGE0Yzk0OWMifQ=="/>
  </w:docVars>
  <w:rsids>
    <w:rsidRoot w:val="00000000"/>
    <w:rsid w:val="5820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2022-07-08T02:45:10Z</dcterms:created>
  <dc:creator>Administrator</dc:creator>
  <cp:lastModifiedBy>逸仙1371313096</cp:lastModifiedBy>
  <dcterms:modified xsi:type="dcterms:W3CDTF">2022-07-08T03:31:33Z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71981A353EEC42ADA8DBB095C0EC5BE0</vt:lpwstr>
  </property>
</Properties>
</file>